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8B9" w:rsidRPr="000D28B9" w:rsidRDefault="000D28B9" w:rsidP="000D28B9">
      <w:pPr>
        <w:spacing w:before="100" w:beforeAutospacing="1" w:after="100" w:afterAutospacing="1" w:line="240" w:lineRule="auto"/>
        <w:rPr>
          <w:rFonts w:ascii="Times New Roman" w:hAnsi="Times New Roman" w:cs="Times New Roman"/>
          <w:sz w:val="24"/>
        </w:rPr>
      </w:pPr>
    </w:p>
    <w:p w:rsidR="000D28B9" w:rsidRPr="000D28B9" w:rsidRDefault="000D28B9" w:rsidP="000D28B9">
      <w:pPr>
        <w:spacing w:before="100" w:beforeAutospacing="1" w:after="100" w:afterAutospacing="1" w:line="240" w:lineRule="auto"/>
        <w:rPr>
          <w:rFonts w:ascii="Times New Roman" w:hAnsi="Times New Roman" w:cs="Times New Roman"/>
          <w:sz w:val="24"/>
        </w:rPr>
      </w:pPr>
    </w:p>
    <w:p w:rsidR="000D28B9" w:rsidRPr="000D28B9" w:rsidRDefault="000D28B9" w:rsidP="000D28B9">
      <w:pPr>
        <w:spacing w:before="100" w:beforeAutospacing="1" w:after="100" w:afterAutospacing="1" w:line="240" w:lineRule="auto"/>
        <w:rPr>
          <w:rFonts w:ascii="Times New Roman" w:hAnsi="Times New Roman" w:cs="Times New Roman"/>
          <w:sz w:val="24"/>
        </w:rPr>
      </w:pPr>
    </w:p>
    <w:p w:rsidR="000D28B9" w:rsidRDefault="000D28B9" w:rsidP="000D28B9">
      <w:pPr>
        <w:spacing w:before="100" w:beforeAutospacing="1" w:after="100" w:afterAutospacing="1" w:line="240" w:lineRule="auto"/>
        <w:rPr>
          <w:rFonts w:ascii="Times New Roman" w:hAnsi="Times New Roman" w:cs="Times New Roman"/>
          <w:sz w:val="24"/>
        </w:rPr>
      </w:pPr>
    </w:p>
    <w:p w:rsidR="000D28B9" w:rsidRDefault="000D28B9" w:rsidP="000D28B9">
      <w:pPr>
        <w:spacing w:before="100" w:beforeAutospacing="1" w:after="100" w:afterAutospacing="1" w:line="240" w:lineRule="auto"/>
        <w:rPr>
          <w:rFonts w:ascii="Times New Roman" w:hAnsi="Times New Roman" w:cs="Times New Roman"/>
          <w:sz w:val="24"/>
        </w:rPr>
      </w:pPr>
    </w:p>
    <w:p w:rsidR="000D28B9" w:rsidRDefault="000D28B9" w:rsidP="000D28B9">
      <w:pPr>
        <w:spacing w:before="100" w:beforeAutospacing="1" w:after="100" w:afterAutospacing="1" w:line="240" w:lineRule="auto"/>
        <w:rPr>
          <w:rFonts w:ascii="Times New Roman" w:hAnsi="Times New Roman" w:cs="Times New Roman"/>
          <w:sz w:val="24"/>
        </w:rPr>
      </w:pPr>
    </w:p>
    <w:p w:rsidR="000D28B9" w:rsidRPr="000D28B9" w:rsidRDefault="000D28B9" w:rsidP="000D28B9">
      <w:pPr>
        <w:spacing w:before="100" w:beforeAutospacing="1" w:after="100" w:afterAutospacing="1" w:line="240" w:lineRule="auto"/>
        <w:rPr>
          <w:rFonts w:ascii="Times New Roman" w:hAnsi="Times New Roman" w:cs="Times New Roman"/>
          <w:sz w:val="24"/>
        </w:rPr>
      </w:pPr>
    </w:p>
    <w:p w:rsidR="000D28B9" w:rsidRPr="000D28B9" w:rsidRDefault="000D28B9" w:rsidP="000D28B9">
      <w:pPr>
        <w:spacing w:before="100" w:beforeAutospacing="1" w:after="100" w:afterAutospacing="1" w:line="240" w:lineRule="auto"/>
        <w:rPr>
          <w:rFonts w:ascii="Times New Roman" w:hAnsi="Times New Roman" w:cs="Times New Roman"/>
          <w:sz w:val="24"/>
        </w:rPr>
      </w:pPr>
    </w:p>
    <w:p w:rsidR="000D28B9" w:rsidRPr="000D28B9" w:rsidRDefault="000D28B9" w:rsidP="000D28B9">
      <w:pPr>
        <w:spacing w:before="100" w:beforeAutospacing="1" w:after="100" w:afterAutospacing="1" w:line="240" w:lineRule="auto"/>
        <w:jc w:val="center"/>
        <w:rPr>
          <w:rFonts w:ascii="Times New Roman" w:hAnsi="Times New Roman" w:cs="Times New Roman"/>
          <w:sz w:val="24"/>
        </w:rPr>
      </w:pPr>
      <w:r w:rsidRPr="000D28B9">
        <w:rPr>
          <w:rFonts w:ascii="Times New Roman" w:hAnsi="Times New Roman" w:cs="Times New Roman"/>
          <w:sz w:val="24"/>
        </w:rPr>
        <w:t>Tampa Theatre Parking Challenges</w:t>
      </w:r>
    </w:p>
    <w:p w:rsidR="000D28B9" w:rsidRPr="000D28B9" w:rsidRDefault="000D28B9" w:rsidP="000D28B9">
      <w:pPr>
        <w:spacing w:before="100" w:beforeAutospacing="1" w:after="100" w:afterAutospacing="1" w:line="240" w:lineRule="auto"/>
        <w:jc w:val="center"/>
        <w:rPr>
          <w:rFonts w:ascii="Times New Roman" w:hAnsi="Times New Roman" w:cs="Times New Roman"/>
          <w:sz w:val="24"/>
        </w:rPr>
      </w:pPr>
      <w:r w:rsidRPr="000D28B9">
        <w:rPr>
          <w:rFonts w:ascii="Times New Roman" w:hAnsi="Times New Roman" w:cs="Times New Roman"/>
          <w:sz w:val="24"/>
        </w:rPr>
        <w:t>Name of Student</w:t>
      </w:r>
    </w:p>
    <w:p w:rsidR="000D28B9" w:rsidRPr="000D28B9" w:rsidRDefault="000D28B9" w:rsidP="000D28B9">
      <w:pPr>
        <w:spacing w:before="100" w:beforeAutospacing="1" w:after="100" w:afterAutospacing="1" w:line="240" w:lineRule="auto"/>
        <w:jc w:val="center"/>
        <w:rPr>
          <w:rFonts w:ascii="Times New Roman" w:hAnsi="Times New Roman" w:cs="Times New Roman"/>
          <w:sz w:val="24"/>
        </w:rPr>
      </w:pPr>
      <w:r w:rsidRPr="000D28B9">
        <w:rPr>
          <w:rFonts w:ascii="Times New Roman" w:hAnsi="Times New Roman" w:cs="Times New Roman"/>
          <w:sz w:val="24"/>
        </w:rPr>
        <w:t>Name of Institution</w:t>
      </w:r>
    </w:p>
    <w:p w:rsidR="000D28B9" w:rsidRPr="000D28B9" w:rsidRDefault="000D28B9" w:rsidP="000D28B9">
      <w:pPr>
        <w:spacing w:before="100" w:beforeAutospacing="1" w:after="100" w:afterAutospacing="1" w:line="240" w:lineRule="auto"/>
        <w:jc w:val="center"/>
        <w:rPr>
          <w:rFonts w:ascii="Times New Roman" w:hAnsi="Times New Roman" w:cs="Times New Roman"/>
          <w:sz w:val="24"/>
        </w:rPr>
      </w:pPr>
      <w:r w:rsidRPr="000D28B9">
        <w:rPr>
          <w:rFonts w:ascii="Times New Roman" w:hAnsi="Times New Roman" w:cs="Times New Roman"/>
          <w:sz w:val="24"/>
        </w:rPr>
        <w:t xml:space="preserve">Date </w:t>
      </w:r>
      <w:r w:rsidRPr="000D28B9">
        <w:rPr>
          <w:rFonts w:ascii="Times New Roman" w:hAnsi="Times New Roman" w:cs="Times New Roman"/>
          <w:sz w:val="24"/>
        </w:rPr>
        <w:br w:type="page"/>
      </w:r>
    </w:p>
    <w:p w:rsidR="000D28B9" w:rsidRPr="000D28B9" w:rsidRDefault="000D28B9" w:rsidP="000D28B9">
      <w:pPr>
        <w:spacing w:before="100" w:beforeAutospacing="1" w:after="100" w:afterAutospacing="1" w:line="240" w:lineRule="auto"/>
        <w:ind w:firstLine="720"/>
        <w:rPr>
          <w:rFonts w:ascii="Times New Roman" w:hAnsi="Times New Roman" w:cs="Times New Roman"/>
          <w:sz w:val="24"/>
        </w:rPr>
      </w:pPr>
      <w:r w:rsidRPr="000D28B9">
        <w:rPr>
          <w:rFonts w:ascii="Times New Roman" w:hAnsi="Times New Roman" w:cs="Times New Roman"/>
          <w:sz w:val="24"/>
        </w:rPr>
        <w:lastRenderedPageBreak/>
        <w:t xml:space="preserve">The success of Tampa Theatre over the years is the product of conscious decision-making and the implementation of tactical initiatives. Most notable is its uniqueness in product line through engaging its clientele with live acts and classic films as a shift strategy from too much focus on Hollywood products (Gaudes, 2019). Given that the movie industry is highly competitive and highly subjective to current trends, differentiation of services forms a critical basis for survival. However, despite the theatre's portfolio and growth, one area where it faces critical issues is in parking space. Without dedicated parking lots, the theatre depends on three utilities; on-street metered spaces, City of Tampa parking garages, and privately owned parking lots (Tampa Theatre). The first one has limitations on time during working hours but is free from 6 pm and weekends. The last pertains to parking lots also not owned by Tampa Theatre but other private owners, calling for strict vigilance. While public parking lots only as close as three blocks away. The situation presents a compelling challenge for the theatre, which could consequentially influence losing clients seeking these facilities. However, strategic partnerships could resolve the issue. </w:t>
      </w:r>
    </w:p>
    <w:p w:rsidR="000D28B9" w:rsidRPr="000D28B9" w:rsidRDefault="000D28B9" w:rsidP="000D28B9">
      <w:pPr>
        <w:spacing w:before="100" w:beforeAutospacing="1" w:after="100" w:afterAutospacing="1" w:line="240" w:lineRule="auto"/>
        <w:ind w:firstLine="720"/>
        <w:rPr>
          <w:rFonts w:ascii="Times New Roman" w:hAnsi="Times New Roman" w:cs="Times New Roman"/>
          <w:sz w:val="24"/>
        </w:rPr>
      </w:pPr>
      <w:r w:rsidRPr="000D28B9">
        <w:rPr>
          <w:rFonts w:ascii="Times New Roman" w:hAnsi="Times New Roman" w:cs="Times New Roman"/>
          <w:sz w:val="24"/>
        </w:rPr>
        <w:t xml:space="preserve">One compelling partnership opportunity for the theatre is with Uber and Lyft for traveling services. Take the case for Hilton's partnership with the latter that earns triple benefit points for every dollar customers spend on their rides (Kelleher, 2019). The deal also encompasses double benefit points for a dollar's worth of shared rides, and the Lynk services also opt to match riders for a much lower price. The partnership allows consumers to link their hotel honors points with their Lyft accounts. Redeeming of the points for the consumer increase the experience for the customers, and flexibility also covers free nights. An additional benefit of the partnership is that consumers earn points every time they travel with Lyft throughout the United States. </w:t>
      </w:r>
      <w:r w:rsidR="0052527F">
        <w:rPr>
          <w:rFonts w:ascii="Times New Roman" w:hAnsi="Times New Roman" w:cs="Times New Roman"/>
          <w:sz w:val="24"/>
        </w:rPr>
        <w:t xml:space="preserve">Hilton records a gradual increase in its loyalty program each year by 20% to 94 million members. As of 2019, the engagement of members doubled since 2012, with engagement accounting for members actively redeeming their points. </w:t>
      </w:r>
    </w:p>
    <w:p w:rsidR="000D28B9" w:rsidRPr="000D28B9" w:rsidRDefault="000D28B9" w:rsidP="000D28B9">
      <w:pPr>
        <w:spacing w:before="100" w:beforeAutospacing="1" w:after="100" w:afterAutospacing="1" w:line="240" w:lineRule="auto"/>
        <w:ind w:firstLine="720"/>
        <w:rPr>
          <w:rFonts w:ascii="Times New Roman" w:hAnsi="Times New Roman" w:cs="Times New Roman"/>
          <w:sz w:val="24"/>
        </w:rPr>
      </w:pPr>
      <w:r w:rsidRPr="000D28B9">
        <w:rPr>
          <w:rFonts w:ascii="Times New Roman" w:hAnsi="Times New Roman" w:cs="Times New Roman"/>
          <w:sz w:val="24"/>
        </w:rPr>
        <w:t xml:space="preserve">IHG, Hilton, and Starwood also have partnership deals with Uber, each varying in their benefits. For Starwood, the program tier of the client determines the point's bonus they receive when using Uber in their stay (Leff, 2015). Though the deal is beneficial to all clients, the first stay is not within the benefits program. Uber and Hilton's partnership offers clients ride reminders for pre-scheduled services. The deal also includes a local scene where the hotel grants clients sites frequent for Uber riders as a means of giving clients itinerary (Sciacca, 2015). IHG's partnership deal also includes ride reminders and a first-time rider bonus. The latter pertains to benefits of reduced pay for their first ride, and an additional voucher that deposits points to the hotel's accounts. The last aspect serves as an incentive to frequent the establishment. </w:t>
      </w:r>
    </w:p>
    <w:p w:rsidR="000D28B9" w:rsidRPr="000D28B9" w:rsidRDefault="000D28B9" w:rsidP="000D28B9">
      <w:pPr>
        <w:spacing w:before="100" w:beforeAutospacing="1" w:after="100" w:afterAutospacing="1" w:line="240" w:lineRule="auto"/>
        <w:ind w:firstLine="720"/>
        <w:rPr>
          <w:rFonts w:ascii="Times New Roman" w:hAnsi="Times New Roman" w:cs="Times New Roman"/>
          <w:sz w:val="24"/>
        </w:rPr>
      </w:pPr>
      <w:r w:rsidRPr="000D28B9">
        <w:rPr>
          <w:rFonts w:ascii="Times New Roman" w:hAnsi="Times New Roman" w:cs="Times New Roman"/>
          <w:sz w:val="24"/>
        </w:rPr>
        <w:t xml:space="preserve">The solution for the Tampa Theatre is an open partnership with both riding companies that links to the theatre's client account for points. Such a partnership eliminates the need for preserved paring and also removes the hustle clients endure in terms of parking when visiting their amenities. The point scheme could offer different benefits when subscribing to either riding services. However, redeeming the points should be similar throughout the theatre. Flexibility would account for their snacks and drinks, ticket services, and also pre-scheduled redeeming for the classic shows, live acts, and even Hollywood releases. Implementing the initiative requires the theatre to reach out to both riding services and structure the fine points of their deal. After the </w:t>
      </w:r>
      <w:r w:rsidRPr="000D28B9">
        <w:rPr>
          <w:rFonts w:ascii="Times New Roman" w:hAnsi="Times New Roman" w:cs="Times New Roman"/>
          <w:sz w:val="24"/>
        </w:rPr>
        <w:lastRenderedPageBreak/>
        <w:t xml:space="preserve">agreement, the launch of the client point system would incorporate an awareness program and a probable gift or vouchers as incentives for attendance. </w:t>
      </w:r>
    </w:p>
    <w:p w:rsidR="000D28B9" w:rsidRPr="000D28B9" w:rsidRDefault="000D28B9" w:rsidP="000D28B9">
      <w:pPr>
        <w:spacing w:before="100" w:beforeAutospacing="1" w:after="100" w:afterAutospacing="1" w:line="240" w:lineRule="auto"/>
        <w:rPr>
          <w:rFonts w:ascii="Times New Roman" w:hAnsi="Times New Roman" w:cs="Times New Roman"/>
          <w:sz w:val="24"/>
        </w:rPr>
      </w:pPr>
      <w:r w:rsidRPr="000D28B9">
        <w:rPr>
          <w:rFonts w:ascii="Times New Roman" w:hAnsi="Times New Roman" w:cs="Times New Roman"/>
          <w:sz w:val="24"/>
        </w:rPr>
        <w:br w:type="page"/>
      </w:r>
    </w:p>
    <w:p w:rsidR="000D28B9" w:rsidRPr="000D28B9" w:rsidRDefault="000D28B9" w:rsidP="000D28B9">
      <w:pPr>
        <w:spacing w:before="100" w:beforeAutospacing="1" w:after="100" w:afterAutospacing="1" w:line="240" w:lineRule="auto"/>
        <w:jc w:val="center"/>
        <w:rPr>
          <w:rFonts w:ascii="Times New Roman" w:hAnsi="Times New Roman" w:cs="Times New Roman"/>
          <w:sz w:val="24"/>
        </w:rPr>
      </w:pPr>
      <w:r w:rsidRPr="000D28B9">
        <w:rPr>
          <w:rFonts w:ascii="Times New Roman" w:hAnsi="Times New Roman" w:cs="Times New Roman"/>
          <w:sz w:val="24"/>
        </w:rPr>
        <w:lastRenderedPageBreak/>
        <w:t>References</w:t>
      </w:r>
    </w:p>
    <w:p w:rsidR="000D28B9" w:rsidRPr="000D28B9" w:rsidRDefault="000D28B9" w:rsidP="000D28B9">
      <w:pPr>
        <w:spacing w:before="100" w:beforeAutospacing="1" w:after="100" w:afterAutospacing="1" w:line="240" w:lineRule="auto"/>
        <w:ind w:left="720" w:hanging="720"/>
        <w:rPr>
          <w:rFonts w:ascii="Times New Roman" w:hAnsi="Times New Roman" w:cs="Times New Roman"/>
          <w:sz w:val="24"/>
        </w:rPr>
      </w:pPr>
      <w:r w:rsidRPr="000D28B9">
        <w:rPr>
          <w:rFonts w:ascii="Times New Roman" w:hAnsi="Times New Roman" w:cs="Times New Roman"/>
          <w:sz w:val="24"/>
        </w:rPr>
        <w:t xml:space="preserve">Gaudes, C. (2019, May 24). </w:t>
      </w:r>
      <w:r w:rsidRPr="000D28B9">
        <w:rPr>
          <w:rFonts w:ascii="Times New Roman" w:hAnsi="Times New Roman" w:cs="Times New Roman"/>
          <w:i/>
          <w:sz w:val="24"/>
        </w:rPr>
        <w:t>Tampa Theatre's 28th Annual Summer Classics Movie Series Lineup.</w:t>
      </w:r>
      <w:r w:rsidRPr="000D28B9">
        <w:rPr>
          <w:rFonts w:ascii="Times New Roman" w:hAnsi="Times New Roman" w:cs="Times New Roman"/>
          <w:sz w:val="24"/>
        </w:rPr>
        <w:t xml:space="preserve"> Retrieved April 18, 2020, from Tampa Bay Date Night Guide: https://tampabaydatenightguide.com/tampa-theatre-summer-classics-movie-series/</w:t>
      </w:r>
    </w:p>
    <w:p w:rsidR="000D28B9" w:rsidRPr="000D28B9" w:rsidRDefault="000D28B9" w:rsidP="000D28B9">
      <w:pPr>
        <w:spacing w:before="100" w:beforeAutospacing="1" w:after="100" w:afterAutospacing="1" w:line="240" w:lineRule="auto"/>
        <w:ind w:left="720" w:hanging="720"/>
        <w:rPr>
          <w:rFonts w:ascii="Times New Roman" w:hAnsi="Times New Roman" w:cs="Times New Roman"/>
          <w:sz w:val="24"/>
        </w:rPr>
      </w:pPr>
      <w:r w:rsidRPr="000D28B9">
        <w:rPr>
          <w:rFonts w:ascii="Times New Roman" w:hAnsi="Times New Roman" w:cs="Times New Roman"/>
          <w:sz w:val="24"/>
        </w:rPr>
        <w:t xml:space="preserve">Kelleher, S. R. (2019, March 14). </w:t>
      </w:r>
      <w:r w:rsidRPr="000D28B9">
        <w:rPr>
          <w:rFonts w:ascii="Times New Roman" w:hAnsi="Times New Roman" w:cs="Times New Roman"/>
          <w:i/>
          <w:sz w:val="24"/>
        </w:rPr>
        <w:t xml:space="preserve">Hilton Honors Members Now Have A Very Good Reason To Choose Lyft Over Uber. </w:t>
      </w:r>
      <w:r w:rsidRPr="000D28B9">
        <w:rPr>
          <w:rFonts w:ascii="Times New Roman" w:hAnsi="Times New Roman" w:cs="Times New Roman"/>
          <w:sz w:val="24"/>
        </w:rPr>
        <w:t>Retrieved April 18, 2020, from Forbes.com: https://www.forbes.com/sites/suzannerowankelleher/2019/05/14/hilton-honors-members-now-have-a-very-good-reason-to-choose-lyft-over-uber/#36a290d35965</w:t>
      </w:r>
    </w:p>
    <w:p w:rsidR="000D28B9" w:rsidRPr="000D28B9" w:rsidRDefault="000D28B9" w:rsidP="000D28B9">
      <w:pPr>
        <w:spacing w:before="100" w:beforeAutospacing="1" w:after="100" w:afterAutospacing="1" w:line="240" w:lineRule="auto"/>
        <w:ind w:left="720" w:hanging="720"/>
        <w:rPr>
          <w:rFonts w:ascii="Times New Roman" w:hAnsi="Times New Roman" w:cs="Times New Roman"/>
          <w:sz w:val="24"/>
        </w:rPr>
      </w:pPr>
      <w:r w:rsidRPr="000D28B9">
        <w:rPr>
          <w:rFonts w:ascii="Times New Roman" w:hAnsi="Times New Roman" w:cs="Times New Roman"/>
          <w:sz w:val="24"/>
        </w:rPr>
        <w:t xml:space="preserve">Leff, G. (2015, November 30). </w:t>
      </w:r>
      <w:r w:rsidRPr="000D28B9">
        <w:rPr>
          <w:rFonts w:ascii="Times New Roman" w:hAnsi="Times New Roman" w:cs="Times New Roman"/>
          <w:i/>
          <w:sz w:val="24"/>
        </w:rPr>
        <w:t>3 Hotel Chains Now Partner With Uber Here's How to Benefit from Each.</w:t>
      </w:r>
      <w:r w:rsidRPr="000D28B9">
        <w:rPr>
          <w:rFonts w:ascii="Times New Roman" w:hAnsi="Times New Roman" w:cs="Times New Roman"/>
          <w:sz w:val="24"/>
        </w:rPr>
        <w:t xml:space="preserve"> Retrieved April 18, 2020, from View from the Wing: https://viewfromthewing.com/41743/</w:t>
      </w:r>
    </w:p>
    <w:p w:rsidR="000D28B9" w:rsidRPr="000D28B9" w:rsidRDefault="000D28B9" w:rsidP="000D28B9">
      <w:pPr>
        <w:spacing w:before="100" w:beforeAutospacing="1" w:after="100" w:afterAutospacing="1" w:line="240" w:lineRule="auto"/>
        <w:ind w:left="720" w:hanging="720"/>
        <w:rPr>
          <w:rFonts w:ascii="Times New Roman" w:hAnsi="Times New Roman" w:cs="Times New Roman"/>
          <w:sz w:val="24"/>
        </w:rPr>
      </w:pPr>
      <w:r w:rsidRPr="000D28B9">
        <w:rPr>
          <w:rFonts w:ascii="Times New Roman" w:hAnsi="Times New Roman" w:cs="Times New Roman"/>
          <w:sz w:val="24"/>
        </w:rPr>
        <w:t xml:space="preserve">Sciacca, A. (2015, September 1). </w:t>
      </w:r>
      <w:r w:rsidRPr="000D28B9">
        <w:rPr>
          <w:rFonts w:ascii="Times New Roman" w:hAnsi="Times New Roman" w:cs="Times New Roman"/>
          <w:i/>
          <w:sz w:val="24"/>
        </w:rPr>
        <w:t>Hilton taps 'sharing economy' with Uber partnership</w:t>
      </w:r>
      <w:r w:rsidRPr="000D28B9">
        <w:rPr>
          <w:rFonts w:ascii="Times New Roman" w:hAnsi="Times New Roman" w:cs="Times New Roman"/>
          <w:sz w:val="24"/>
        </w:rPr>
        <w:t>. Retrieved April 18, 2020, from Biz Journals: https://www.bizjournals.com/sanfrancisco/blog/2015/09/hilton-taps-sharing-economy-with-uber-partnership.html</w:t>
      </w:r>
    </w:p>
    <w:p w:rsidR="000D28B9" w:rsidRPr="000D28B9" w:rsidRDefault="000D28B9" w:rsidP="000D28B9">
      <w:pPr>
        <w:spacing w:before="100" w:beforeAutospacing="1" w:after="100" w:afterAutospacing="1" w:line="240" w:lineRule="auto"/>
        <w:ind w:left="720" w:hanging="720"/>
        <w:rPr>
          <w:rFonts w:ascii="Times New Roman" w:hAnsi="Times New Roman" w:cs="Times New Roman"/>
          <w:sz w:val="24"/>
        </w:rPr>
      </w:pPr>
      <w:r w:rsidRPr="000D28B9">
        <w:rPr>
          <w:rFonts w:ascii="Times New Roman" w:hAnsi="Times New Roman" w:cs="Times New Roman"/>
          <w:sz w:val="24"/>
        </w:rPr>
        <w:t xml:space="preserve">Tampa Theatre. (n.d.). </w:t>
      </w:r>
      <w:r w:rsidRPr="000D28B9">
        <w:rPr>
          <w:rFonts w:ascii="Times New Roman" w:hAnsi="Times New Roman" w:cs="Times New Roman"/>
          <w:i/>
          <w:sz w:val="24"/>
        </w:rPr>
        <w:t>Know Before you Go: Tampa Theatre</w:t>
      </w:r>
      <w:r w:rsidRPr="000D28B9">
        <w:rPr>
          <w:rFonts w:ascii="Times New Roman" w:hAnsi="Times New Roman" w:cs="Times New Roman"/>
          <w:sz w:val="24"/>
        </w:rPr>
        <w:t>. Retrieved April 2020, from Tampa Theatre: https://tampatheatre.org/about/know-before-you-go/</w:t>
      </w:r>
    </w:p>
    <w:p w:rsidR="00EB2173" w:rsidRPr="000D28B9" w:rsidRDefault="00EB2173" w:rsidP="000D28B9">
      <w:pPr>
        <w:spacing w:before="100" w:beforeAutospacing="1" w:after="100" w:afterAutospacing="1" w:line="240" w:lineRule="auto"/>
        <w:rPr>
          <w:rFonts w:ascii="Times New Roman" w:hAnsi="Times New Roman" w:cs="Times New Roman"/>
          <w:sz w:val="24"/>
        </w:rPr>
      </w:pPr>
    </w:p>
    <w:sectPr w:rsidR="00EB2173" w:rsidRPr="000D28B9" w:rsidSect="000D2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689" w:rsidRDefault="00AD0689" w:rsidP="000D28B9">
      <w:pPr>
        <w:spacing w:after="0" w:line="240" w:lineRule="auto"/>
      </w:pPr>
      <w:r>
        <w:separator/>
      </w:r>
    </w:p>
  </w:endnote>
  <w:endnote w:type="continuationSeparator" w:id="1">
    <w:p w:rsidR="00AD0689" w:rsidRDefault="00AD0689" w:rsidP="000D2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689" w:rsidRDefault="00AD0689" w:rsidP="000D28B9">
      <w:pPr>
        <w:spacing w:after="0" w:line="240" w:lineRule="auto"/>
      </w:pPr>
      <w:r>
        <w:separator/>
      </w:r>
    </w:p>
  </w:footnote>
  <w:footnote w:type="continuationSeparator" w:id="1">
    <w:p w:rsidR="00AD0689" w:rsidRDefault="00AD0689" w:rsidP="000D2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B9" w:rsidRPr="000D28B9" w:rsidRDefault="000D28B9">
    <w:pPr>
      <w:pStyle w:val="Header"/>
      <w:jc w:val="right"/>
      <w:rPr>
        <w:rFonts w:ascii="Times New Roman" w:hAnsi="Times New Roman" w:cs="Times New Roman"/>
        <w:sz w:val="24"/>
      </w:rPr>
    </w:pPr>
    <w:r w:rsidRPr="000D28B9">
      <w:rPr>
        <w:rFonts w:ascii="Times New Roman" w:hAnsi="Times New Roman" w:cs="Times New Roman"/>
        <w:sz w:val="24"/>
      </w:rPr>
      <w:t>TAMPA THEATRE PARKING CHALLENGES</w:t>
    </w:r>
    <w:r w:rsidRPr="000D28B9">
      <w:rPr>
        <w:rFonts w:ascii="Times New Roman" w:hAnsi="Times New Roman" w:cs="Times New Roman"/>
        <w:sz w:val="24"/>
      </w:rPr>
      <w:tab/>
    </w:r>
    <w:sdt>
      <w:sdtPr>
        <w:rPr>
          <w:rFonts w:ascii="Times New Roman" w:hAnsi="Times New Roman" w:cs="Times New Roman"/>
          <w:sz w:val="24"/>
        </w:rPr>
        <w:id w:val="51196874"/>
        <w:docPartObj>
          <w:docPartGallery w:val="Page Numbers (Top of Page)"/>
          <w:docPartUnique/>
        </w:docPartObj>
      </w:sdtPr>
      <w:sdtContent>
        <w:r w:rsidR="00863ED5" w:rsidRPr="000D28B9">
          <w:rPr>
            <w:rFonts w:ascii="Times New Roman" w:hAnsi="Times New Roman" w:cs="Times New Roman"/>
            <w:sz w:val="24"/>
          </w:rPr>
          <w:fldChar w:fldCharType="begin"/>
        </w:r>
        <w:r w:rsidRPr="000D28B9">
          <w:rPr>
            <w:rFonts w:ascii="Times New Roman" w:hAnsi="Times New Roman" w:cs="Times New Roman"/>
            <w:sz w:val="24"/>
          </w:rPr>
          <w:instrText xml:space="preserve"> PAGE   \* MERGEFORMAT </w:instrText>
        </w:r>
        <w:r w:rsidR="00863ED5" w:rsidRPr="000D28B9">
          <w:rPr>
            <w:rFonts w:ascii="Times New Roman" w:hAnsi="Times New Roman" w:cs="Times New Roman"/>
            <w:sz w:val="24"/>
          </w:rPr>
          <w:fldChar w:fldCharType="separate"/>
        </w:r>
        <w:r w:rsidR="0052527F">
          <w:rPr>
            <w:rFonts w:ascii="Times New Roman" w:hAnsi="Times New Roman" w:cs="Times New Roman"/>
            <w:noProof/>
            <w:sz w:val="24"/>
          </w:rPr>
          <w:t>2</w:t>
        </w:r>
        <w:r w:rsidR="00863ED5" w:rsidRPr="000D28B9">
          <w:rPr>
            <w:rFonts w:ascii="Times New Roman" w:hAnsi="Times New Roman" w:cs="Times New Roman"/>
            <w:sz w:val="24"/>
          </w:rPr>
          <w:fldChar w:fldCharType="end"/>
        </w:r>
      </w:sdtContent>
    </w:sdt>
  </w:p>
  <w:p w:rsidR="000D28B9" w:rsidRPr="000D28B9" w:rsidRDefault="000D28B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B9" w:rsidRPr="000D28B9" w:rsidRDefault="000D28B9">
    <w:pPr>
      <w:pStyle w:val="Header"/>
      <w:jc w:val="right"/>
      <w:rPr>
        <w:rFonts w:ascii="Times New Roman" w:hAnsi="Times New Roman" w:cs="Times New Roman"/>
        <w:sz w:val="24"/>
      </w:rPr>
    </w:pPr>
    <w:r w:rsidRPr="000D28B9">
      <w:rPr>
        <w:rFonts w:ascii="Times New Roman" w:hAnsi="Times New Roman" w:cs="Times New Roman"/>
        <w:sz w:val="24"/>
      </w:rPr>
      <w:t xml:space="preserve">Running Head: TAMPA THEATRE PARKING CHALLENGES </w:t>
    </w:r>
    <w:r w:rsidRPr="000D28B9">
      <w:rPr>
        <w:rFonts w:ascii="Times New Roman" w:hAnsi="Times New Roman" w:cs="Times New Roman"/>
        <w:sz w:val="24"/>
      </w:rPr>
      <w:tab/>
    </w:r>
    <w:sdt>
      <w:sdtPr>
        <w:rPr>
          <w:rFonts w:ascii="Times New Roman" w:hAnsi="Times New Roman" w:cs="Times New Roman"/>
          <w:sz w:val="24"/>
        </w:rPr>
        <w:id w:val="51196926"/>
        <w:docPartObj>
          <w:docPartGallery w:val="Page Numbers (Top of Page)"/>
          <w:docPartUnique/>
        </w:docPartObj>
      </w:sdtPr>
      <w:sdtContent>
        <w:r w:rsidR="00863ED5" w:rsidRPr="000D28B9">
          <w:rPr>
            <w:rFonts w:ascii="Times New Roman" w:hAnsi="Times New Roman" w:cs="Times New Roman"/>
            <w:sz w:val="24"/>
          </w:rPr>
          <w:fldChar w:fldCharType="begin"/>
        </w:r>
        <w:r w:rsidRPr="000D28B9">
          <w:rPr>
            <w:rFonts w:ascii="Times New Roman" w:hAnsi="Times New Roman" w:cs="Times New Roman"/>
            <w:sz w:val="24"/>
          </w:rPr>
          <w:instrText xml:space="preserve"> PAGE   \* MERGEFORMAT </w:instrText>
        </w:r>
        <w:r w:rsidR="00863ED5" w:rsidRPr="000D28B9">
          <w:rPr>
            <w:rFonts w:ascii="Times New Roman" w:hAnsi="Times New Roman" w:cs="Times New Roman"/>
            <w:sz w:val="24"/>
          </w:rPr>
          <w:fldChar w:fldCharType="separate"/>
        </w:r>
        <w:r w:rsidR="0052527F">
          <w:rPr>
            <w:rFonts w:ascii="Times New Roman" w:hAnsi="Times New Roman" w:cs="Times New Roman"/>
            <w:noProof/>
            <w:sz w:val="24"/>
          </w:rPr>
          <w:t>1</w:t>
        </w:r>
        <w:r w:rsidR="00863ED5" w:rsidRPr="000D28B9">
          <w:rPr>
            <w:rFonts w:ascii="Times New Roman" w:hAnsi="Times New Roman" w:cs="Times New Roman"/>
            <w:sz w:val="24"/>
          </w:rPr>
          <w:fldChar w:fldCharType="end"/>
        </w:r>
      </w:sdtContent>
    </w:sdt>
  </w:p>
  <w:p w:rsidR="000D28B9" w:rsidRPr="000D28B9" w:rsidRDefault="000D28B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jQ3sTQ1NQMCcwNjMyUdpeDU4uLM/DyQAsNaAC6KxlosAAAA"/>
  </w:docVars>
  <w:rsids>
    <w:rsidRoot w:val="00FA52AE"/>
    <w:rsid w:val="000D28B9"/>
    <w:rsid w:val="003608C7"/>
    <w:rsid w:val="0052527F"/>
    <w:rsid w:val="00863ED5"/>
    <w:rsid w:val="00AD0689"/>
    <w:rsid w:val="00C440E5"/>
    <w:rsid w:val="00DC5136"/>
    <w:rsid w:val="00EB2173"/>
    <w:rsid w:val="00FA52AE"/>
    <w:rsid w:val="00FF78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ED5"/>
  </w:style>
  <w:style w:type="paragraph" w:styleId="Heading1">
    <w:name w:val="heading 1"/>
    <w:basedOn w:val="Normal"/>
    <w:next w:val="Normal"/>
    <w:link w:val="Heading1Char"/>
    <w:uiPriority w:val="9"/>
    <w:qFormat/>
    <w:rsid w:val="00C440E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2AE"/>
    <w:rPr>
      <w:rFonts w:ascii="Tahoma" w:hAnsi="Tahoma" w:cs="Tahoma"/>
      <w:sz w:val="16"/>
      <w:szCs w:val="16"/>
    </w:rPr>
  </w:style>
  <w:style w:type="character" w:customStyle="1" w:styleId="Heading1Char">
    <w:name w:val="Heading 1 Char"/>
    <w:basedOn w:val="DefaultParagraphFont"/>
    <w:link w:val="Heading1"/>
    <w:uiPriority w:val="9"/>
    <w:rsid w:val="00C440E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440E5"/>
  </w:style>
  <w:style w:type="paragraph" w:styleId="Header">
    <w:name w:val="header"/>
    <w:basedOn w:val="Normal"/>
    <w:link w:val="HeaderChar"/>
    <w:uiPriority w:val="99"/>
    <w:unhideWhenUsed/>
    <w:rsid w:val="000D2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8B9"/>
  </w:style>
  <w:style w:type="paragraph" w:styleId="Footer">
    <w:name w:val="footer"/>
    <w:basedOn w:val="Normal"/>
    <w:link w:val="FooterChar"/>
    <w:uiPriority w:val="99"/>
    <w:semiHidden/>
    <w:unhideWhenUsed/>
    <w:rsid w:val="000D28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28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Tam20</b:Tag>
    <b:SourceType>InternetSite</b:SourceType>
    <b:Guid>{BBF02F9C-4C2A-4911-BC71-50BEA0640C03}</b:Guid>
    <b:LCID>0</b:LCID>
    <b:Author>
      <b:Author>
        <b:Corporate>Tampa Theatre</b:Corporate>
      </b:Author>
    </b:Author>
    <b:Title>Know Before you Go: Tampa Theatre</b:Title>
    <b:InternetSiteTitle>Tampa Theatre</b:InternetSiteTitle>
    <b:YearAccessed>2020</b:YearAccessed>
    <b:MonthAccessed>April</b:MonthAccessed>
    <b:URL>https://tampatheatre.org/about/know-before-you-go/</b:URL>
    <b:RefOrder>2</b:RefOrder>
  </b:Source>
  <b:Source>
    <b:Tag>Gau19</b:Tag>
    <b:SourceType>InternetSite</b:SourceType>
    <b:Guid>{105E3557-9E27-419D-83A7-E95022AD0B14}</b:Guid>
    <b:LCID>0</b:LCID>
    <b:Author>
      <b:Author>
        <b:NameList>
          <b:Person>
            <b:Last>Gaudes</b:Last>
            <b:First>Cassidy</b:First>
          </b:Person>
        </b:NameList>
      </b:Author>
    </b:Author>
    <b:Title>Tampa Theatre’s 28th Annual Summer Classics Movie Series Lineup</b:Title>
    <b:InternetSiteTitle>Tampa Bay Date Night Guide</b:InternetSiteTitle>
    <b:Year>2019</b:Year>
    <b:Month>May</b:Month>
    <b:Day>24</b:Day>
    <b:YearAccessed>2020</b:YearAccessed>
    <b:MonthAccessed>April</b:MonthAccessed>
    <b:DayAccessed>18</b:DayAccessed>
    <b:URL>https://tampabaydatenightguide.com/tampa-theatre-summer-classics-movie-series/</b:URL>
    <b:RefOrder>1</b:RefOrder>
  </b:Source>
  <b:Source>
    <b:Tag>kel19</b:Tag>
    <b:SourceType>InternetSite</b:SourceType>
    <b:Guid>{4704F769-C36A-4258-9746-60AAC829C880}</b:Guid>
    <b:LCID>0</b:LCID>
    <b:Author>
      <b:Author>
        <b:NameList>
          <b:Person>
            <b:Last>kelleher</b:Last>
            <b:First>Suzanne</b:First>
            <b:Middle>Rowan</b:Middle>
          </b:Person>
        </b:NameList>
      </b:Author>
    </b:Author>
    <b:Title>Hilton Honors Members Now Have A Very Good Reason To Choose Lyft Over Uber</b:Title>
    <b:InternetSiteTitle>Forbes.com</b:InternetSiteTitle>
    <b:Year>2019</b:Year>
    <b:Month>March</b:Month>
    <b:Day>14</b:Day>
    <b:YearAccessed>2020</b:YearAccessed>
    <b:MonthAccessed>April</b:MonthAccessed>
    <b:DayAccessed>18</b:DayAccessed>
    <b:URL>https://www.forbes.com/sites/suzannerowankelleher/2019/05/14/hilton-honors-members-now-have-a-very-good-reason-to-choose-lyft-over-uber/#36a290d35965</b:URL>
    <b:RefOrder>3</b:RefOrder>
  </b:Source>
  <b:Source>
    <b:Tag>Lef15</b:Tag>
    <b:SourceType>InternetSite</b:SourceType>
    <b:Guid>{E52F8A1F-A0A0-467F-8BE5-3A94044C1055}</b:Guid>
    <b:LCID>0</b:LCID>
    <b:Author>
      <b:Author>
        <b:NameList>
          <b:Person>
            <b:Last>Leff</b:Last>
            <b:First>Gary</b:First>
          </b:Person>
        </b:NameList>
      </b:Author>
    </b:Author>
    <b:Title>3 Hotel Chains Now Partner With Uber, Here’s How to Benefit from Each</b:Title>
    <b:InternetSiteTitle>View from the Wing</b:InternetSiteTitle>
    <b:Year>2015</b:Year>
    <b:Month>November</b:Month>
    <b:Day>30</b:Day>
    <b:YearAccessed>2020</b:YearAccessed>
    <b:MonthAccessed>April</b:MonthAccessed>
    <b:DayAccessed>18</b:DayAccessed>
    <b:URL>https://viewfromthewing.com/41743/</b:URL>
    <b:RefOrder>5</b:RefOrder>
  </b:Source>
  <b:Source>
    <b:Tag>Sci15</b:Tag>
    <b:SourceType>InternetSite</b:SourceType>
    <b:Guid>{3DC71E1C-33C8-4423-ABB7-543E92D7AD31}</b:Guid>
    <b:LCID>0</b:LCID>
    <b:Author>
      <b:Author>
        <b:NameList>
          <b:Person>
            <b:Last>Sciacca</b:Last>
            <b:First>Annie</b:First>
          </b:Person>
        </b:NameList>
      </b:Author>
    </b:Author>
    <b:Title>Hilton taps 'sharing economy' with Uber partnership</b:Title>
    <b:InternetSiteTitle>Biz Journals</b:InternetSiteTitle>
    <b:Year>2015</b:Year>
    <b:Month>September</b:Month>
    <b:Day>1</b:Day>
    <b:YearAccessed>2020</b:YearAccessed>
    <b:MonthAccessed>April</b:MonthAccessed>
    <b:DayAccessed>18</b:DayAccessed>
    <b:URL>https://www.bizjournals.com/sanfrancisco/blog/2015/09/hilton-taps-sharing-economy-with-uber-partnership.html</b:URL>
    <b:RefOrder>4</b:RefOrder>
  </b:Source>
</b:Sources>
</file>

<file path=customXml/itemProps1.xml><?xml version="1.0" encoding="utf-8"?>
<ds:datastoreItem xmlns:ds="http://schemas.openxmlformats.org/officeDocument/2006/customXml" ds:itemID="{D7CFA325-F9C5-45B2-9539-C85700596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2020-04-18T07:58:00Z</dcterms:created>
  <dcterms:modified xsi:type="dcterms:W3CDTF">2020-04-19T06:03:00Z</dcterms:modified>
</cp:coreProperties>
</file>